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A371" w14:textId="3A67D908" w:rsidR="00980644" w:rsidRPr="005B5F50" w:rsidRDefault="00CC1024" w:rsidP="005B5F50">
      <w:pPr>
        <w:jc w:val="center"/>
        <w:rPr>
          <w:rFonts w:ascii="Cambria" w:hAnsi="Cambria"/>
          <w:b/>
          <w:bCs/>
          <w:sz w:val="32"/>
          <w:szCs w:val="32"/>
        </w:rPr>
      </w:pPr>
      <w:r w:rsidRPr="005B5F50">
        <w:rPr>
          <w:rFonts w:ascii="Cambria" w:hAnsi="Cambria"/>
          <w:b/>
          <w:bCs/>
          <w:sz w:val="32"/>
          <w:szCs w:val="32"/>
        </w:rPr>
        <w:t>Vendor Questions:  10/19/2021:</w:t>
      </w:r>
    </w:p>
    <w:p w14:paraId="3CFDCB0B" w14:textId="6F63353E" w:rsidR="00CC1024" w:rsidRDefault="00CC1024"/>
    <w:p w14:paraId="55345F12" w14:textId="77777777" w:rsidR="005B5F50" w:rsidRPr="005B5F50" w:rsidRDefault="005B5F50" w:rsidP="005B5F50">
      <w:pPr>
        <w:shd w:val="clear" w:color="auto" w:fill="FFFFFF"/>
        <w:spacing w:after="0" w:line="240" w:lineRule="auto"/>
        <w:rPr>
          <w:rFonts w:ascii="Calibri" w:eastAsia="Times New Roman" w:hAnsi="Calibri" w:cs="Calibri"/>
          <w:color w:val="323130"/>
        </w:rPr>
      </w:pPr>
      <w:r w:rsidRPr="005B5F50">
        <w:rPr>
          <w:rFonts w:ascii="Calibri" w:eastAsia="Times New Roman" w:hAnsi="Calibri" w:cs="Calibri"/>
          <w:color w:val="323130"/>
        </w:rPr>
        <w:t> </w:t>
      </w:r>
    </w:p>
    <w:p w14:paraId="553028DA" w14:textId="77777777" w:rsidR="005B5F50" w:rsidRPr="005B5F50" w:rsidRDefault="005B5F50" w:rsidP="005B5F50">
      <w:pPr>
        <w:shd w:val="clear" w:color="auto" w:fill="FFFFFF"/>
        <w:spacing w:after="0" w:line="240" w:lineRule="auto"/>
        <w:rPr>
          <w:rFonts w:ascii="Calibri" w:eastAsia="Times New Roman" w:hAnsi="Calibri" w:cs="Calibri"/>
          <w:color w:val="323130"/>
        </w:rPr>
      </w:pPr>
      <w:r w:rsidRPr="005B5F50">
        <w:rPr>
          <w:rFonts w:ascii="Calibri" w:eastAsia="Times New Roman" w:hAnsi="Calibri" w:cs="Calibri"/>
          <w:color w:val="323130"/>
        </w:rPr>
        <w:t> </w:t>
      </w:r>
    </w:p>
    <w:p w14:paraId="0FFCD904" w14:textId="74F2C4B9" w:rsidR="00FF68DE" w:rsidRPr="00693C9B" w:rsidRDefault="00245F63" w:rsidP="007B18C2">
      <w:pPr>
        <w:numPr>
          <w:ilvl w:val="0"/>
          <w:numId w:val="1"/>
        </w:numPr>
        <w:shd w:val="clear" w:color="auto" w:fill="FFFFFF"/>
        <w:spacing w:after="0" w:line="231" w:lineRule="atLeast"/>
        <w:rPr>
          <w:rFonts w:ascii="Calibri" w:eastAsia="Times New Roman" w:hAnsi="Calibri" w:cs="Calibri"/>
          <w:color w:val="2F5496" w:themeColor="accent1" w:themeShade="BF"/>
        </w:rPr>
      </w:pPr>
      <w:r w:rsidRPr="00693C9B">
        <w:rPr>
          <w:rFonts w:ascii="Calibri" w:eastAsia="Times New Roman" w:hAnsi="Calibri" w:cs="Calibri"/>
          <w:color w:val="323130"/>
        </w:rPr>
        <w:t xml:space="preserve">Q: </w:t>
      </w:r>
      <w:r w:rsidR="005B5F50" w:rsidRPr="00693C9B">
        <w:rPr>
          <w:rFonts w:ascii="Calibri" w:eastAsia="Times New Roman" w:hAnsi="Calibri" w:cs="Calibri"/>
          <w:color w:val="323130"/>
        </w:rPr>
        <w:t xml:space="preserve">Page 15 of the RFP states </w:t>
      </w:r>
      <w:r w:rsidR="005B5F50" w:rsidRPr="00693C9B">
        <w:rPr>
          <w:rFonts w:ascii="Calibri" w:eastAsia="Times New Roman" w:hAnsi="Calibri" w:cs="Calibri"/>
        </w:rPr>
        <w:t>"</w:t>
      </w:r>
      <w:r w:rsidR="005B5F50" w:rsidRPr="00693C9B">
        <w:rPr>
          <w:rFonts w:ascii="Calibri" w:eastAsia="Times New Roman" w:hAnsi="Calibri" w:cs="Calibri"/>
          <w:bdr w:val="none" w:sz="0" w:space="0" w:color="auto" w:frame="1"/>
        </w:rPr>
        <w:t>The Out-of-School Youth contractor must meet the mandatory 30 percent minimum expenditure of program funds on work-based learning. This amount will be provided when the allocation is awarded." </w:t>
      </w:r>
      <w:r w:rsidR="005B5F50" w:rsidRPr="00693C9B">
        <w:rPr>
          <w:rFonts w:ascii="Calibri" w:eastAsia="Times New Roman" w:hAnsi="Calibri" w:cs="Calibri"/>
        </w:rPr>
        <w:t xml:space="preserve">Please confirm that </w:t>
      </w:r>
      <w:r w:rsidR="005B5F50" w:rsidRPr="00693C9B">
        <w:rPr>
          <w:rFonts w:ascii="Calibri" w:eastAsia="Times New Roman" w:hAnsi="Calibri" w:cs="Calibri"/>
          <w:color w:val="323130"/>
        </w:rPr>
        <w:t>these funds will be provided after award and therefore proposers should not include work-based learning funds in their budget.</w:t>
      </w:r>
    </w:p>
    <w:p w14:paraId="6E73D556" w14:textId="2131D674" w:rsidR="006403D9" w:rsidRPr="006403D9" w:rsidRDefault="00245F63" w:rsidP="00245F63">
      <w:pPr>
        <w:shd w:val="clear" w:color="auto" w:fill="FFFFFF"/>
        <w:spacing w:after="0" w:line="231" w:lineRule="atLeast"/>
        <w:ind w:left="720"/>
        <w:rPr>
          <w:color w:val="2F5496" w:themeColor="accent1" w:themeShade="BF"/>
        </w:rPr>
      </w:pPr>
      <w:r w:rsidRPr="006403D9">
        <w:rPr>
          <w:rFonts w:ascii="Calibri" w:eastAsia="Times New Roman" w:hAnsi="Calibri" w:cs="Calibri"/>
          <w:color w:val="2F5496" w:themeColor="accent1" w:themeShade="BF"/>
        </w:rPr>
        <w:t xml:space="preserve">A: </w:t>
      </w:r>
      <w:r w:rsidR="00C144C0" w:rsidRPr="006403D9">
        <w:rPr>
          <w:rFonts w:ascii="Calibri" w:eastAsia="Times New Roman" w:hAnsi="Calibri" w:cs="Calibri"/>
          <w:color w:val="2F5496" w:themeColor="accent1" w:themeShade="BF"/>
        </w:rPr>
        <w:t>WIOA requires local areas to spend a % of Youth funding on Work Experience activities which may include:</w:t>
      </w:r>
    </w:p>
    <w:p w14:paraId="739E58D5"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Wages or stipends paid for participation in a work experience; </w:t>
      </w:r>
    </w:p>
    <w:p w14:paraId="77408F4F"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Staff time working to identify and develop a work experience opportunity, including staff time spent working with employers to identify and develop the work experience;</w:t>
      </w:r>
    </w:p>
    <w:p w14:paraId="1F9B5053"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 Staff time working with employers to ensure a successful work experience, including staff time spent managing the work experience; </w:t>
      </w:r>
    </w:p>
    <w:p w14:paraId="5C0712CE"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Staff time spent evaluating the work experience; </w:t>
      </w:r>
    </w:p>
    <w:p w14:paraId="614C2034"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Participant work experience orientation sessions;</w:t>
      </w:r>
    </w:p>
    <w:p w14:paraId="7EF49718"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 Employer work experience orientation sessions;</w:t>
      </w:r>
    </w:p>
    <w:p w14:paraId="5374DDA6"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 Classroom training or the required academic education component directly related to the work experience;</w:t>
      </w:r>
    </w:p>
    <w:p w14:paraId="456F7008"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 Incentive payments directly tied to the completion of work experience; and</w:t>
      </w:r>
    </w:p>
    <w:p w14:paraId="5F549BE5" w14:textId="77777777" w:rsidR="006403D9" w:rsidRPr="006403D9" w:rsidRDefault="00C144C0" w:rsidP="00245F63">
      <w:pPr>
        <w:shd w:val="clear" w:color="auto" w:fill="FFFFFF"/>
        <w:spacing w:after="0" w:line="231" w:lineRule="atLeast"/>
        <w:ind w:left="720"/>
        <w:rPr>
          <w:color w:val="2F5496" w:themeColor="accent1" w:themeShade="BF"/>
        </w:rPr>
      </w:pPr>
      <w:r w:rsidRPr="006403D9">
        <w:rPr>
          <w:color w:val="2F5496" w:themeColor="accent1" w:themeShade="BF"/>
        </w:rPr>
        <w:t xml:space="preserve"> • Employability skills or job readiness training to prepare youth for a work experience. When determining the types of expenditures that are allowable to help mee</w:t>
      </w:r>
      <w:r w:rsidR="000012B8" w:rsidRPr="006403D9">
        <w:rPr>
          <w:color w:val="2F5496" w:themeColor="accent1" w:themeShade="BF"/>
        </w:rPr>
        <w:t>t this requirement, additional information can be found in TEGL 8-15 and TEGL 21-16, p.15.</w:t>
      </w:r>
      <w:r w:rsidR="000012B8" w:rsidRPr="006403D9">
        <w:rPr>
          <w:color w:val="2F5496" w:themeColor="accent1" w:themeShade="BF"/>
        </w:rPr>
        <w:t xml:space="preserve"> </w:t>
      </w:r>
    </w:p>
    <w:p w14:paraId="513ADD17" w14:textId="5F29BD6B" w:rsidR="00C144C0" w:rsidRPr="006403D9" w:rsidRDefault="0011220F" w:rsidP="00245F63">
      <w:pPr>
        <w:shd w:val="clear" w:color="auto" w:fill="FFFFFF"/>
        <w:spacing w:after="0" w:line="231" w:lineRule="atLeast"/>
        <w:ind w:left="720"/>
        <w:rPr>
          <w:rFonts w:ascii="Calibri" w:eastAsia="Times New Roman" w:hAnsi="Calibri" w:cs="Calibri"/>
          <w:color w:val="2F5496" w:themeColor="accent1" w:themeShade="BF"/>
        </w:rPr>
      </w:pPr>
      <w:r w:rsidRPr="006403D9">
        <w:rPr>
          <w:color w:val="2F5496" w:themeColor="accent1" w:themeShade="BF"/>
        </w:rPr>
        <w:t xml:space="preserve">The exact dollar amount of work-based learning </w:t>
      </w:r>
      <w:r w:rsidR="006E7A13" w:rsidRPr="006403D9">
        <w:rPr>
          <w:color w:val="2F5496" w:themeColor="accent1" w:themeShade="BF"/>
        </w:rPr>
        <w:t xml:space="preserve">expenses will be determined with final contract amount, however the provider should include a preliminary budget where at least 30% of the funds are </w:t>
      </w:r>
      <w:r w:rsidR="006403D9" w:rsidRPr="006403D9">
        <w:rPr>
          <w:color w:val="2F5496" w:themeColor="accent1" w:themeShade="BF"/>
        </w:rPr>
        <w:t xml:space="preserve">budgeted for allowable work-based learning activities. </w:t>
      </w:r>
    </w:p>
    <w:p w14:paraId="7EE7E464" w14:textId="77777777" w:rsidR="00FF68DE" w:rsidRDefault="00FF68DE" w:rsidP="00893C83">
      <w:pPr>
        <w:numPr>
          <w:ilvl w:val="0"/>
          <w:numId w:val="1"/>
        </w:numPr>
        <w:shd w:val="clear" w:color="auto" w:fill="FFFFFF"/>
        <w:spacing w:line="231" w:lineRule="atLeast"/>
        <w:rPr>
          <w:rFonts w:ascii="Calibri" w:eastAsia="Times New Roman" w:hAnsi="Calibri" w:cs="Calibri"/>
          <w:color w:val="323130"/>
        </w:rPr>
      </w:pPr>
      <w:r w:rsidRPr="00FF68DE">
        <w:rPr>
          <w:rFonts w:ascii="Calibri" w:eastAsia="Times New Roman" w:hAnsi="Calibri" w:cs="Calibri"/>
          <w:color w:val="323130"/>
        </w:rPr>
        <w:t xml:space="preserve">Q: </w:t>
      </w:r>
      <w:r w:rsidR="005B5F50" w:rsidRPr="00FF68DE">
        <w:rPr>
          <w:rFonts w:ascii="Calibri" w:eastAsia="Times New Roman" w:hAnsi="Calibri" w:cs="Calibri"/>
          <w:color w:val="323130"/>
        </w:rPr>
        <w:t>The provided Program Narrative template text boxes for responses have 1.25” margins however the RFP states proposals are required to have 1” margins. Please confirm it is acceptable to adjust the template margins to the 1”?</w:t>
      </w:r>
      <w:r w:rsidR="006E7C7F" w:rsidRPr="00FF68DE">
        <w:rPr>
          <w:rFonts w:ascii="Calibri" w:eastAsia="Times New Roman" w:hAnsi="Calibri" w:cs="Calibri"/>
          <w:color w:val="323130"/>
        </w:rPr>
        <w:t> </w:t>
      </w:r>
    </w:p>
    <w:p w14:paraId="06E09037" w14:textId="4C589F66" w:rsidR="00FF68DE" w:rsidRPr="00FF68DE" w:rsidRDefault="00FF68DE" w:rsidP="00FF68DE">
      <w:pPr>
        <w:shd w:val="clear" w:color="auto" w:fill="FFFFFF"/>
        <w:spacing w:line="231" w:lineRule="atLeast"/>
        <w:ind w:left="720"/>
        <w:rPr>
          <w:rFonts w:ascii="Calibri" w:eastAsia="Times New Roman" w:hAnsi="Calibri" w:cs="Calibri"/>
          <w:color w:val="2F5496" w:themeColor="accent1" w:themeShade="BF"/>
        </w:rPr>
      </w:pPr>
      <w:r w:rsidRPr="00FF68DE">
        <w:rPr>
          <w:rFonts w:ascii="Calibri" w:eastAsia="Times New Roman" w:hAnsi="Calibri" w:cs="Calibri"/>
          <w:color w:val="2F5496" w:themeColor="accent1" w:themeShade="BF"/>
        </w:rPr>
        <w:t xml:space="preserve">A: It is acceptable to adjust the template margins to 1”. </w:t>
      </w:r>
    </w:p>
    <w:p w14:paraId="6EB81BE6" w14:textId="26AA29D9" w:rsidR="006E7C7F" w:rsidRDefault="00AB68F3" w:rsidP="00245F63">
      <w:pPr>
        <w:pStyle w:val="ListParagraph"/>
        <w:numPr>
          <w:ilvl w:val="0"/>
          <w:numId w:val="1"/>
        </w:numPr>
        <w:shd w:val="clear" w:color="auto" w:fill="FFFFFF"/>
        <w:spacing w:after="0" w:line="240" w:lineRule="auto"/>
        <w:rPr>
          <w:rFonts w:ascii="Calibri" w:eastAsia="Times New Roman" w:hAnsi="Calibri" w:cs="Calibri"/>
          <w:color w:val="323130"/>
        </w:rPr>
      </w:pPr>
      <w:r>
        <w:rPr>
          <w:rFonts w:ascii="Calibri" w:eastAsia="Times New Roman" w:hAnsi="Calibri" w:cs="Calibri"/>
          <w:color w:val="323130"/>
        </w:rPr>
        <w:t xml:space="preserve">Q: </w:t>
      </w:r>
      <w:r w:rsidR="006E7C7F" w:rsidRPr="00245F63">
        <w:rPr>
          <w:rFonts w:ascii="Calibri" w:eastAsia="Times New Roman" w:hAnsi="Calibri" w:cs="Calibri"/>
          <w:color w:val="323130"/>
        </w:rPr>
        <w:t>For Cover Sheet, “Legal Authority” – are you looking for the name of the person authorized to bind the organization?</w:t>
      </w:r>
    </w:p>
    <w:p w14:paraId="0842220F" w14:textId="403D922D" w:rsidR="00FF68DE" w:rsidRDefault="00FF68DE" w:rsidP="00FF68DE">
      <w:pPr>
        <w:pStyle w:val="ListParagraph"/>
        <w:shd w:val="clear" w:color="auto" w:fill="FFFFFF"/>
        <w:spacing w:after="0" w:line="240" w:lineRule="auto"/>
        <w:rPr>
          <w:rFonts w:ascii="Calibri" w:eastAsia="Times New Roman" w:hAnsi="Calibri" w:cs="Calibri"/>
          <w:color w:val="323130"/>
        </w:rPr>
      </w:pPr>
      <w:r w:rsidRPr="00A62637">
        <w:rPr>
          <w:rFonts w:ascii="Calibri" w:eastAsia="Times New Roman" w:hAnsi="Calibri" w:cs="Calibri"/>
          <w:color w:val="2F5496" w:themeColor="accent1" w:themeShade="BF"/>
        </w:rPr>
        <w:t xml:space="preserve">A: </w:t>
      </w:r>
      <w:r w:rsidR="000D2767" w:rsidRPr="00A62637">
        <w:rPr>
          <w:rFonts w:ascii="Calibri" w:eastAsia="Times New Roman" w:hAnsi="Calibri" w:cs="Calibri"/>
          <w:color w:val="2F5496" w:themeColor="accent1" w:themeShade="BF"/>
        </w:rPr>
        <w:t xml:space="preserve"> Yes, the </w:t>
      </w:r>
      <w:r w:rsidR="00F75EA7" w:rsidRPr="00A62637">
        <w:rPr>
          <w:rFonts w:ascii="Calibri" w:eastAsia="Times New Roman" w:hAnsi="Calibri" w:cs="Calibri"/>
          <w:color w:val="2F5496" w:themeColor="accent1" w:themeShade="BF"/>
        </w:rPr>
        <w:t>legal au</w:t>
      </w:r>
      <w:r w:rsidR="0000017D" w:rsidRPr="00A62637">
        <w:rPr>
          <w:rFonts w:ascii="Calibri" w:eastAsia="Times New Roman" w:hAnsi="Calibri" w:cs="Calibri"/>
          <w:color w:val="2F5496" w:themeColor="accent1" w:themeShade="BF"/>
        </w:rPr>
        <w:t xml:space="preserve">thority </w:t>
      </w:r>
      <w:r w:rsidR="00A62637" w:rsidRPr="00A62637">
        <w:rPr>
          <w:rFonts w:ascii="Calibri" w:eastAsia="Times New Roman" w:hAnsi="Calibri" w:cs="Calibri"/>
          <w:color w:val="2F5496" w:themeColor="accent1" w:themeShade="BF"/>
        </w:rPr>
        <w:t>is the person authorized to bind the organization</w:t>
      </w:r>
    </w:p>
    <w:p w14:paraId="151D9647" w14:textId="77777777" w:rsidR="00A62637" w:rsidRPr="00245F63" w:rsidRDefault="00A62637" w:rsidP="00FF68DE">
      <w:pPr>
        <w:pStyle w:val="ListParagraph"/>
        <w:shd w:val="clear" w:color="auto" w:fill="FFFFFF"/>
        <w:spacing w:after="0" w:line="240" w:lineRule="auto"/>
        <w:rPr>
          <w:rFonts w:ascii="Calibri" w:eastAsia="Times New Roman" w:hAnsi="Calibri" w:cs="Calibri"/>
          <w:color w:val="323130"/>
        </w:rPr>
      </w:pPr>
    </w:p>
    <w:p w14:paraId="28133E11" w14:textId="16DC4B34" w:rsidR="006E7C7F" w:rsidRDefault="00AB68F3" w:rsidP="00245F63">
      <w:pPr>
        <w:numPr>
          <w:ilvl w:val="0"/>
          <w:numId w:val="1"/>
        </w:numPr>
        <w:shd w:val="clear" w:color="auto" w:fill="FFFFFF"/>
        <w:spacing w:after="0" w:line="240" w:lineRule="auto"/>
        <w:rPr>
          <w:rFonts w:ascii="Calibri" w:eastAsia="Times New Roman" w:hAnsi="Calibri" w:cs="Calibri"/>
          <w:color w:val="323130"/>
        </w:rPr>
      </w:pPr>
      <w:r>
        <w:rPr>
          <w:rFonts w:ascii="Calibri" w:eastAsia="Times New Roman" w:hAnsi="Calibri" w:cs="Calibri"/>
          <w:color w:val="323130"/>
        </w:rPr>
        <w:t xml:space="preserve">Q: </w:t>
      </w:r>
      <w:r w:rsidR="006E7C7F" w:rsidRPr="006E7C7F">
        <w:rPr>
          <w:rFonts w:ascii="Calibri" w:eastAsia="Times New Roman" w:hAnsi="Calibri" w:cs="Calibri"/>
          <w:color w:val="323130"/>
        </w:rPr>
        <w:t>The formatting on the application document, specifically the “Click here to enter text” does not expand the text box as text is entered. Can we type answers outside the text box directly onto the word document? Also, the font is a light gray – do you want it to remain light gray?</w:t>
      </w:r>
    </w:p>
    <w:p w14:paraId="483E7D20" w14:textId="77777777" w:rsidR="00AB68F3" w:rsidRDefault="00AB68F3" w:rsidP="00A62637">
      <w:pPr>
        <w:shd w:val="clear" w:color="auto" w:fill="FFFFFF"/>
        <w:spacing w:after="0" w:line="240" w:lineRule="auto"/>
        <w:ind w:left="720"/>
        <w:rPr>
          <w:rFonts w:ascii="Calibri" w:eastAsia="Times New Roman" w:hAnsi="Calibri" w:cs="Calibri"/>
          <w:color w:val="2F5496" w:themeColor="accent1" w:themeShade="BF"/>
        </w:rPr>
      </w:pPr>
    </w:p>
    <w:p w14:paraId="3EEA8FF2" w14:textId="2052FEBB" w:rsidR="00A62637" w:rsidRDefault="00A62637" w:rsidP="00A62637">
      <w:pPr>
        <w:shd w:val="clear" w:color="auto" w:fill="FFFFFF"/>
        <w:spacing w:after="0" w:line="240" w:lineRule="auto"/>
        <w:ind w:left="720"/>
        <w:rPr>
          <w:rFonts w:ascii="Calibri" w:eastAsia="Times New Roman" w:hAnsi="Calibri" w:cs="Calibri"/>
          <w:color w:val="2F5496" w:themeColor="accent1" w:themeShade="BF"/>
        </w:rPr>
      </w:pPr>
      <w:r w:rsidRPr="00821C6E">
        <w:rPr>
          <w:rFonts w:ascii="Calibri" w:eastAsia="Times New Roman" w:hAnsi="Calibri" w:cs="Calibri"/>
          <w:color w:val="2F5496" w:themeColor="accent1" w:themeShade="BF"/>
        </w:rPr>
        <w:t xml:space="preserve">A: </w:t>
      </w:r>
      <w:r w:rsidR="00821C6E" w:rsidRPr="00821C6E">
        <w:rPr>
          <w:rFonts w:ascii="Calibri" w:eastAsia="Times New Roman" w:hAnsi="Calibri" w:cs="Calibri"/>
          <w:color w:val="2F5496" w:themeColor="accent1" w:themeShade="BF"/>
        </w:rPr>
        <w:t xml:space="preserve">You may type answers out of the text box or remove the text box. A specific color of font is not required. </w:t>
      </w:r>
    </w:p>
    <w:p w14:paraId="2B031810" w14:textId="77777777" w:rsidR="00AB68F3" w:rsidRPr="00821C6E" w:rsidRDefault="00AB68F3" w:rsidP="00A62637">
      <w:pPr>
        <w:shd w:val="clear" w:color="auto" w:fill="FFFFFF"/>
        <w:spacing w:after="0" w:line="240" w:lineRule="auto"/>
        <w:ind w:left="720"/>
        <w:rPr>
          <w:rFonts w:ascii="Calibri" w:eastAsia="Times New Roman" w:hAnsi="Calibri" w:cs="Calibri"/>
          <w:color w:val="2F5496" w:themeColor="accent1" w:themeShade="BF"/>
        </w:rPr>
      </w:pPr>
    </w:p>
    <w:p w14:paraId="0540E13B" w14:textId="1212DA99" w:rsidR="006E7C7F" w:rsidRDefault="006E4857" w:rsidP="00245F63">
      <w:pPr>
        <w:numPr>
          <w:ilvl w:val="0"/>
          <w:numId w:val="1"/>
        </w:numPr>
        <w:shd w:val="clear" w:color="auto" w:fill="FFFFFF"/>
        <w:spacing w:after="0" w:line="240" w:lineRule="auto"/>
        <w:rPr>
          <w:rFonts w:ascii="Calibri" w:eastAsia="Times New Roman" w:hAnsi="Calibri" w:cs="Calibri"/>
          <w:color w:val="323130"/>
        </w:rPr>
      </w:pPr>
      <w:r>
        <w:rPr>
          <w:rFonts w:ascii="Calibri" w:eastAsia="Times New Roman" w:hAnsi="Calibri" w:cs="Calibri"/>
          <w:color w:val="323130"/>
        </w:rPr>
        <w:t xml:space="preserve">Q: </w:t>
      </w:r>
      <w:r w:rsidR="006E7C7F" w:rsidRPr="006E7C7F">
        <w:rPr>
          <w:rFonts w:ascii="Calibri" w:eastAsia="Times New Roman" w:hAnsi="Calibri" w:cs="Calibri"/>
          <w:color w:val="323130"/>
        </w:rPr>
        <w:t>Can we remove the “Proposer Heading” and text explanation on the Executive Summary page? This reduces the amount of document space by several inches.</w:t>
      </w:r>
      <w:r w:rsidR="006370DD">
        <w:rPr>
          <w:rFonts w:ascii="Calibri" w:eastAsia="Times New Roman" w:hAnsi="Calibri" w:cs="Calibri"/>
          <w:color w:val="323130"/>
        </w:rPr>
        <w:t xml:space="preserve"> </w:t>
      </w:r>
      <w:r w:rsidR="00CD7E12">
        <w:rPr>
          <w:rFonts w:ascii="Calibri" w:eastAsia="Times New Roman" w:hAnsi="Calibri" w:cs="Calibri"/>
          <w:color w:val="323130"/>
        </w:rPr>
        <w:t xml:space="preserve"> </w:t>
      </w:r>
    </w:p>
    <w:p w14:paraId="25060471" w14:textId="606B64A6" w:rsidR="00CD7E12" w:rsidRPr="006E4857" w:rsidRDefault="00CD7E12" w:rsidP="00CD7E12">
      <w:pPr>
        <w:shd w:val="clear" w:color="auto" w:fill="FFFFFF"/>
        <w:spacing w:after="0" w:line="240" w:lineRule="auto"/>
        <w:ind w:left="720"/>
        <w:rPr>
          <w:rFonts w:ascii="Calibri" w:eastAsia="Times New Roman" w:hAnsi="Calibri" w:cs="Calibri"/>
          <w:color w:val="2F5496" w:themeColor="accent1" w:themeShade="BF"/>
        </w:rPr>
      </w:pPr>
      <w:r w:rsidRPr="006E4857">
        <w:rPr>
          <w:rFonts w:ascii="Calibri" w:eastAsia="Times New Roman" w:hAnsi="Calibri" w:cs="Calibri"/>
          <w:color w:val="2F5496" w:themeColor="accent1" w:themeShade="BF"/>
        </w:rPr>
        <w:lastRenderedPageBreak/>
        <w:t>A: You may remove</w:t>
      </w:r>
      <w:r w:rsidR="006B32AB" w:rsidRPr="006E4857">
        <w:rPr>
          <w:rFonts w:ascii="Calibri" w:eastAsia="Times New Roman" w:hAnsi="Calibri" w:cs="Calibri"/>
          <w:color w:val="2F5496" w:themeColor="accent1" w:themeShade="BF"/>
        </w:rPr>
        <w:t xml:space="preserve"> the text explanation and reduce font of Proposer Hea</w:t>
      </w:r>
      <w:r w:rsidR="006E4857" w:rsidRPr="006E4857">
        <w:rPr>
          <w:rFonts w:ascii="Calibri" w:eastAsia="Times New Roman" w:hAnsi="Calibri" w:cs="Calibri"/>
          <w:color w:val="2F5496" w:themeColor="accent1" w:themeShade="BF"/>
        </w:rPr>
        <w:t xml:space="preserve">ding and Executive Summary if needed for space. </w:t>
      </w:r>
    </w:p>
    <w:p w14:paraId="2502CBFE" w14:textId="5E00CCFB" w:rsidR="004D2F1A" w:rsidRPr="004D2F1A" w:rsidRDefault="006E7C7F" w:rsidP="004D2F1A">
      <w:pPr>
        <w:numPr>
          <w:ilvl w:val="0"/>
          <w:numId w:val="1"/>
        </w:numPr>
        <w:shd w:val="clear" w:color="auto" w:fill="FFFFFF"/>
        <w:spacing w:after="0" w:line="240" w:lineRule="auto"/>
        <w:rPr>
          <w:rFonts w:ascii="Calibri" w:eastAsia="Times New Roman" w:hAnsi="Calibri" w:cs="Calibri"/>
          <w:color w:val="323130"/>
        </w:rPr>
      </w:pPr>
      <w:r w:rsidRPr="006E7C7F">
        <w:rPr>
          <w:rFonts w:ascii="Calibri" w:eastAsia="Times New Roman" w:hAnsi="Calibri" w:cs="Calibri"/>
          <w:color w:val="323130"/>
        </w:rPr>
        <w:t>Please clarify exactly which pages count toward the Narrative’s 12-page limit. (Are “Proposal Narrative” and “Program Narrative” the same?)</w:t>
      </w:r>
    </w:p>
    <w:p w14:paraId="12784A91" w14:textId="7B05B522" w:rsidR="004D2F1A" w:rsidRPr="004D2F1A" w:rsidRDefault="004D2F1A" w:rsidP="004D2F1A">
      <w:pPr>
        <w:shd w:val="clear" w:color="auto" w:fill="FFFFFF"/>
        <w:spacing w:after="0" w:line="240" w:lineRule="auto"/>
        <w:ind w:left="720"/>
        <w:rPr>
          <w:rFonts w:ascii="Calibri" w:eastAsia="Times New Roman" w:hAnsi="Calibri" w:cs="Calibri"/>
          <w:color w:val="2F5496" w:themeColor="accent1" w:themeShade="BF"/>
        </w:rPr>
      </w:pPr>
      <w:r w:rsidRPr="004D2F1A">
        <w:rPr>
          <w:rFonts w:ascii="Calibri" w:eastAsia="Times New Roman" w:hAnsi="Calibri" w:cs="Calibri"/>
          <w:color w:val="2F5496" w:themeColor="accent1" w:themeShade="BF"/>
        </w:rPr>
        <w:t xml:space="preserve">A: Only the narrative counts towards the 12-page limit. Proposal Narrative and Program Narrative are one in the same. </w:t>
      </w:r>
    </w:p>
    <w:p w14:paraId="076D3FC3" w14:textId="321123FF" w:rsidR="006E7C7F" w:rsidRDefault="005A0630" w:rsidP="00245F63">
      <w:pPr>
        <w:numPr>
          <w:ilvl w:val="0"/>
          <w:numId w:val="1"/>
        </w:numPr>
        <w:shd w:val="clear" w:color="auto" w:fill="FFFFFF"/>
        <w:spacing w:after="0" w:line="240" w:lineRule="auto"/>
        <w:rPr>
          <w:rFonts w:ascii="Calibri" w:eastAsia="Times New Roman" w:hAnsi="Calibri" w:cs="Calibri"/>
          <w:color w:val="323130"/>
        </w:rPr>
      </w:pPr>
      <w:r>
        <w:rPr>
          <w:rFonts w:ascii="Calibri" w:eastAsia="Times New Roman" w:hAnsi="Calibri" w:cs="Calibri"/>
          <w:color w:val="323130"/>
        </w:rPr>
        <w:t xml:space="preserve">Q: </w:t>
      </w:r>
      <w:r w:rsidR="006E7C7F" w:rsidRPr="006E7C7F">
        <w:rPr>
          <w:rFonts w:ascii="Calibri" w:eastAsia="Times New Roman" w:hAnsi="Calibri" w:cs="Calibri"/>
          <w:color w:val="323130"/>
        </w:rPr>
        <w:t>Should the grant be submitted as one document, or should each section be an attachment?</w:t>
      </w:r>
      <w:r w:rsidR="004D2F1A">
        <w:rPr>
          <w:rFonts w:ascii="Calibri" w:eastAsia="Times New Roman" w:hAnsi="Calibri" w:cs="Calibri"/>
          <w:color w:val="323130"/>
        </w:rPr>
        <w:t xml:space="preserve"> </w:t>
      </w:r>
    </w:p>
    <w:p w14:paraId="10A5AE0F" w14:textId="4F1DE68D" w:rsidR="004D2F1A" w:rsidRPr="008C67EA" w:rsidRDefault="008C67EA" w:rsidP="004D2F1A">
      <w:pPr>
        <w:shd w:val="clear" w:color="auto" w:fill="FFFFFF"/>
        <w:spacing w:after="0" w:line="240" w:lineRule="auto"/>
        <w:ind w:left="720"/>
        <w:rPr>
          <w:rFonts w:ascii="Calibri" w:eastAsia="Times New Roman" w:hAnsi="Calibri" w:cs="Calibri"/>
          <w:color w:val="2F5496" w:themeColor="accent1" w:themeShade="BF"/>
        </w:rPr>
      </w:pPr>
      <w:r w:rsidRPr="008C67EA">
        <w:rPr>
          <w:rFonts w:ascii="Calibri" w:eastAsia="Times New Roman" w:hAnsi="Calibri" w:cs="Calibri"/>
          <w:color w:val="2F5496" w:themeColor="accent1" w:themeShade="BF"/>
        </w:rPr>
        <w:t xml:space="preserve">A: Proposer may attach documents separately or together in one document. </w:t>
      </w:r>
    </w:p>
    <w:p w14:paraId="0533DA7C" w14:textId="772336B0" w:rsidR="006E7C7F" w:rsidRDefault="005A0630" w:rsidP="00245F63">
      <w:pPr>
        <w:numPr>
          <w:ilvl w:val="0"/>
          <w:numId w:val="1"/>
        </w:numPr>
        <w:shd w:val="clear" w:color="auto" w:fill="FFFFFF"/>
        <w:spacing w:after="0" w:line="240" w:lineRule="auto"/>
        <w:rPr>
          <w:rFonts w:ascii="Calibri" w:eastAsia="Times New Roman" w:hAnsi="Calibri" w:cs="Calibri"/>
          <w:color w:val="323130"/>
        </w:rPr>
      </w:pPr>
      <w:r>
        <w:rPr>
          <w:rFonts w:ascii="Calibri" w:eastAsia="Times New Roman" w:hAnsi="Calibri" w:cs="Calibri"/>
          <w:color w:val="323130"/>
        </w:rPr>
        <w:t xml:space="preserve">Q: </w:t>
      </w:r>
      <w:r w:rsidR="006E7C7F" w:rsidRPr="006E7C7F">
        <w:rPr>
          <w:rFonts w:ascii="Calibri" w:eastAsia="Times New Roman" w:hAnsi="Calibri" w:cs="Calibri"/>
          <w:color w:val="323130"/>
        </w:rPr>
        <w:t>Do you require the submission of an audit, 990, IRS letter, etc?</w:t>
      </w:r>
    </w:p>
    <w:p w14:paraId="6035185E" w14:textId="3B29AA76" w:rsidR="005A0630" w:rsidRPr="005A0630" w:rsidRDefault="005A0630" w:rsidP="005A0630">
      <w:pPr>
        <w:shd w:val="clear" w:color="auto" w:fill="FFFFFF"/>
        <w:spacing w:after="0" w:line="240" w:lineRule="auto"/>
        <w:ind w:left="720"/>
        <w:rPr>
          <w:rFonts w:ascii="Calibri" w:eastAsia="Times New Roman" w:hAnsi="Calibri" w:cs="Calibri"/>
          <w:color w:val="2F5496" w:themeColor="accent1" w:themeShade="BF"/>
        </w:rPr>
      </w:pPr>
      <w:r w:rsidRPr="005A0630">
        <w:rPr>
          <w:rFonts w:ascii="Calibri" w:eastAsia="Times New Roman" w:hAnsi="Calibri" w:cs="Calibri"/>
          <w:color w:val="2F5496" w:themeColor="accent1" w:themeShade="BF"/>
        </w:rPr>
        <w:t xml:space="preserve">A: Additional documentation may be required upon award of contract. </w:t>
      </w:r>
    </w:p>
    <w:p w14:paraId="315174D4" w14:textId="77777777" w:rsidR="006E7C7F" w:rsidRPr="006E7C7F" w:rsidRDefault="006E7C7F" w:rsidP="006E7C7F">
      <w:pPr>
        <w:shd w:val="clear" w:color="auto" w:fill="FFFFFF"/>
        <w:spacing w:after="0" w:line="240" w:lineRule="auto"/>
        <w:rPr>
          <w:rFonts w:ascii="Calibri" w:eastAsia="Times New Roman" w:hAnsi="Calibri" w:cs="Calibri"/>
          <w:color w:val="323130"/>
        </w:rPr>
      </w:pPr>
      <w:r w:rsidRPr="006E7C7F">
        <w:rPr>
          <w:rFonts w:ascii="Calibri" w:eastAsia="Times New Roman" w:hAnsi="Calibri" w:cs="Calibri"/>
          <w:color w:val="323130"/>
        </w:rPr>
        <w:t> </w:t>
      </w:r>
    </w:p>
    <w:p w14:paraId="3ACB48F9" w14:textId="77777777" w:rsidR="005B5F50" w:rsidRDefault="005B5F50"/>
    <w:p w14:paraId="0379F266" w14:textId="7854EE3F" w:rsidR="005B5F50" w:rsidRDefault="005B5F50"/>
    <w:p w14:paraId="6D44D3C1" w14:textId="77777777" w:rsidR="005B5F50" w:rsidRDefault="005B5F50"/>
    <w:sectPr w:rsidR="005B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6D3"/>
    <w:multiLevelType w:val="multilevel"/>
    <w:tmpl w:val="3A26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32669"/>
    <w:multiLevelType w:val="multilevel"/>
    <w:tmpl w:val="8078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99"/>
    <w:rsid w:val="0000017D"/>
    <w:rsid w:val="000012B8"/>
    <w:rsid w:val="000D2767"/>
    <w:rsid w:val="0011220F"/>
    <w:rsid w:val="00245F63"/>
    <w:rsid w:val="004D2F1A"/>
    <w:rsid w:val="005A0630"/>
    <w:rsid w:val="005B5F50"/>
    <w:rsid w:val="006370DD"/>
    <w:rsid w:val="006403D9"/>
    <w:rsid w:val="00693C9B"/>
    <w:rsid w:val="006B32AB"/>
    <w:rsid w:val="006E4857"/>
    <w:rsid w:val="006E7A13"/>
    <w:rsid w:val="006E7C7F"/>
    <w:rsid w:val="00821C6E"/>
    <w:rsid w:val="008C67EA"/>
    <w:rsid w:val="00980644"/>
    <w:rsid w:val="009F2199"/>
    <w:rsid w:val="00A62637"/>
    <w:rsid w:val="00AB68F3"/>
    <w:rsid w:val="00C144C0"/>
    <w:rsid w:val="00CC1024"/>
    <w:rsid w:val="00CD7E12"/>
    <w:rsid w:val="00F75EA7"/>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665E"/>
  <w15:chartTrackingRefBased/>
  <w15:docId w15:val="{AD9152FC-BEAA-4140-B70A-565248E3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F50"/>
    <w:rPr>
      <w:color w:val="0000FF"/>
      <w:u w:val="single"/>
    </w:rPr>
  </w:style>
  <w:style w:type="paragraph" w:styleId="ListParagraph">
    <w:name w:val="List Paragraph"/>
    <w:basedOn w:val="Normal"/>
    <w:uiPriority w:val="34"/>
    <w:qFormat/>
    <w:rsid w:val="0024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253">
      <w:bodyDiv w:val="1"/>
      <w:marLeft w:val="0"/>
      <w:marRight w:val="0"/>
      <w:marTop w:val="0"/>
      <w:marBottom w:val="0"/>
      <w:divBdr>
        <w:top w:val="none" w:sz="0" w:space="0" w:color="auto"/>
        <w:left w:val="none" w:sz="0" w:space="0" w:color="auto"/>
        <w:bottom w:val="none" w:sz="0" w:space="0" w:color="auto"/>
        <w:right w:val="none" w:sz="0" w:space="0" w:color="auto"/>
      </w:divBdr>
      <w:divsChild>
        <w:div w:id="1339503003">
          <w:marLeft w:val="0"/>
          <w:marRight w:val="0"/>
          <w:marTop w:val="0"/>
          <w:marBottom w:val="0"/>
          <w:divBdr>
            <w:top w:val="none" w:sz="0" w:space="0" w:color="auto"/>
            <w:left w:val="none" w:sz="0" w:space="0" w:color="auto"/>
            <w:bottom w:val="none" w:sz="0" w:space="0" w:color="auto"/>
            <w:right w:val="none" w:sz="0" w:space="0" w:color="auto"/>
          </w:divBdr>
          <w:divsChild>
            <w:div w:id="10096716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92602443">
      <w:bodyDiv w:val="1"/>
      <w:marLeft w:val="0"/>
      <w:marRight w:val="0"/>
      <w:marTop w:val="0"/>
      <w:marBottom w:val="0"/>
      <w:divBdr>
        <w:top w:val="none" w:sz="0" w:space="0" w:color="auto"/>
        <w:left w:val="none" w:sz="0" w:space="0" w:color="auto"/>
        <w:bottom w:val="none" w:sz="0" w:space="0" w:color="auto"/>
        <w:right w:val="none" w:sz="0" w:space="0" w:color="auto"/>
      </w:divBdr>
      <w:divsChild>
        <w:div w:id="1419525965">
          <w:marLeft w:val="0"/>
          <w:marRight w:val="0"/>
          <w:marTop w:val="0"/>
          <w:marBottom w:val="0"/>
          <w:divBdr>
            <w:top w:val="none" w:sz="0" w:space="0" w:color="auto"/>
            <w:left w:val="none" w:sz="0" w:space="0" w:color="auto"/>
            <w:bottom w:val="none" w:sz="0" w:space="0" w:color="auto"/>
            <w:right w:val="none" w:sz="0" w:space="0" w:color="auto"/>
          </w:divBdr>
          <w:divsChild>
            <w:div w:id="74109898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e36844-04c3-4e57-904e-d06e5508f75f">
      <UserInfo>
        <DisplayName>Cathy Rychalsky</DisplayName>
        <AccountId>18</AccountId>
        <AccountType/>
      </UserInfo>
      <UserInfo>
        <DisplayName>Anna Ramos</DisplayName>
        <AccountId>11</AccountId>
        <AccountType/>
      </UserInfo>
      <UserInfo>
        <DisplayName>Valerie Hatfield</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6FA18-2A18-4465-8041-FF9B491B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D3197-F05C-4382-8260-14DDBF251F0E}">
  <ds:schemaRefs>
    <ds:schemaRef ds:uri="http://schemas.microsoft.com/office/2006/metadata/properties"/>
    <ds:schemaRef ds:uri="http://schemas.microsoft.com/office/infopath/2007/PartnerControls"/>
    <ds:schemaRef ds:uri="77e36844-04c3-4e57-904e-d06e5508f75f"/>
  </ds:schemaRefs>
</ds:datastoreItem>
</file>

<file path=customXml/itemProps3.xml><?xml version="1.0" encoding="utf-8"?>
<ds:datastoreItem xmlns:ds="http://schemas.openxmlformats.org/officeDocument/2006/customXml" ds:itemID="{5C24E232-59FB-4C06-ADB8-67F18247F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Pinkard</dc:creator>
  <cp:keywords/>
  <dc:description/>
  <cp:lastModifiedBy>Valerie Hatfield</cp:lastModifiedBy>
  <cp:revision>25</cp:revision>
  <dcterms:created xsi:type="dcterms:W3CDTF">2021-10-19T13:52:00Z</dcterms:created>
  <dcterms:modified xsi:type="dcterms:W3CDTF">2021-10-20T15:35:00Z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